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8D" w:rsidRPr="00C07789" w:rsidRDefault="006C078D" w:rsidP="006C078D">
      <w:pPr>
        <w:jc w:val="center"/>
        <w:rPr>
          <w:b/>
          <w:sz w:val="32"/>
          <w:szCs w:val="32"/>
        </w:rPr>
      </w:pPr>
      <w:r w:rsidRPr="00C07789">
        <w:rPr>
          <w:b/>
          <w:sz w:val="32"/>
          <w:szCs w:val="32"/>
        </w:rPr>
        <w:t>Správa o hospodárení SAG za rok 201</w:t>
      </w:r>
      <w:r w:rsidR="00FC728D">
        <w:rPr>
          <w:b/>
          <w:sz w:val="32"/>
          <w:szCs w:val="32"/>
        </w:rPr>
        <w:t>5</w:t>
      </w:r>
      <w:r w:rsidRPr="00C07789">
        <w:rPr>
          <w:b/>
          <w:sz w:val="32"/>
          <w:szCs w:val="32"/>
        </w:rPr>
        <w:t xml:space="preserve"> a rozpočet na rok 201</w:t>
      </w:r>
      <w:r w:rsidR="00FC728D">
        <w:rPr>
          <w:b/>
          <w:sz w:val="32"/>
          <w:szCs w:val="32"/>
        </w:rPr>
        <w:t>6</w:t>
      </w:r>
    </w:p>
    <w:p w:rsidR="006C078D" w:rsidRDefault="006C078D"/>
    <w:p w:rsidR="00FC728D" w:rsidRDefault="00FC728D" w:rsidP="00C07789">
      <w:pPr>
        <w:jc w:val="both"/>
      </w:pPr>
      <w:r>
        <w:t>V druhom roku svojho funkčného obdobia V</w:t>
      </w:r>
      <w:r w:rsidR="006C078D">
        <w:t xml:space="preserve">ýbor SAG pod vedením Miroslava Poliaka </w:t>
      </w:r>
      <w:r>
        <w:t>pokračoval v konsolidácii finančnej situácie</w:t>
      </w:r>
      <w:r w:rsidR="009D4EA1">
        <w:t xml:space="preserve">. </w:t>
      </w:r>
      <w:r w:rsidR="008166C0">
        <w:t>S</w:t>
      </w:r>
      <w:r>
        <w:t xml:space="preserve">chválil vyrovnaný rozpočet, ktorým sa </w:t>
      </w:r>
      <w:r w:rsidR="00182ADF">
        <w:t>riadil počas celého roka</w:t>
      </w:r>
      <w:r w:rsidR="008166C0">
        <w:t xml:space="preserve"> 2015</w:t>
      </w:r>
      <w:r w:rsidR="003D6EEF">
        <w:t>. Konečný stav čerpania rozpočtu je uvedený v nasledujúcej tabuľke</w:t>
      </w:r>
      <w:r>
        <w:t>:</w:t>
      </w:r>
    </w:p>
    <w:p w:rsidR="00FC728D" w:rsidRDefault="00FC728D" w:rsidP="00C07789">
      <w:pPr>
        <w:jc w:val="both"/>
      </w:pPr>
    </w:p>
    <w:tbl>
      <w:tblPr>
        <w:tblW w:w="9550" w:type="dxa"/>
        <w:jc w:val="center"/>
        <w:tblCellMar>
          <w:left w:w="70" w:type="dxa"/>
          <w:right w:w="70" w:type="dxa"/>
        </w:tblCellMar>
        <w:tblLook w:val="0000"/>
      </w:tblPr>
      <w:tblGrid>
        <w:gridCol w:w="2880"/>
        <w:gridCol w:w="1160"/>
        <w:gridCol w:w="4070"/>
        <w:gridCol w:w="1440"/>
      </w:tblGrid>
      <w:tr w:rsidR="00FC728D" w:rsidTr="009D4EA1">
        <w:trPr>
          <w:trHeight w:val="567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28D" w:rsidRDefault="00FC7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C728D" w:rsidRDefault="00FC72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28D" w:rsidRDefault="00FC7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28D" w:rsidRDefault="00FC72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 31.12.2015</w:t>
            </w:r>
          </w:p>
        </w:tc>
      </w:tr>
      <w:tr w:rsidR="00FC728D" w:rsidTr="00623871">
        <w:trPr>
          <w:trHeight w:val="27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 w:rsidR="009D4EA1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3 600,00 €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6 755,02 € </w:t>
            </w:r>
          </w:p>
        </w:tc>
      </w:tr>
      <w:tr w:rsidR="00FC728D" w:rsidTr="00623871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700,00 €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705,00 € </w:t>
            </w:r>
          </w:p>
        </w:tc>
      </w:tr>
      <w:tr w:rsidR="00FC728D" w:rsidTr="00623871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Podiel zaplatenej dane 2 %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604,42 € </w:t>
            </w:r>
          </w:p>
        </w:tc>
      </w:tr>
      <w:tr w:rsidR="00FC728D" w:rsidTr="009D4EA1">
        <w:trPr>
          <w:trHeight w:val="738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Telekom grant (Ponis)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1 000,00 €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účelovo viazaný na financovanie účasti žiakov a študentov na MSR a Slovenskom festivale 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1 000,00 € </w:t>
            </w:r>
          </w:p>
        </w:tc>
      </w:tr>
      <w:tr w:rsidR="00FC728D" w:rsidTr="009D4EA1">
        <w:trPr>
          <w:trHeight w:val="796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Dotácia z MŠ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700,00 €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účelovo viazaná: Odmeny športovcov za výsledky dosiahnuté v roku </w:t>
            </w:r>
            <w:smartTag w:uri="urn:schemas-microsoft-com:office:smarttags" w:element="metricconverter">
              <w:smartTagPr>
                <w:attr w:name="ProductID" w:val="2014 a"/>
              </w:smartTagPr>
              <w:r>
                <w:rPr>
                  <w:rFonts w:ascii="Arial" w:hAnsi="Arial" w:cs="Arial"/>
                  <w:sz w:val="20"/>
                  <w:szCs w:val="20"/>
                </w:rPr>
                <w:t>2014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trénerov mládeže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700,00 € </w:t>
            </w:r>
          </w:p>
        </w:tc>
      </w:tr>
      <w:tr w:rsidR="00FC728D" w:rsidTr="00623871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úroky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   € 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0,60 € </w:t>
            </w:r>
          </w:p>
        </w:tc>
      </w:tr>
      <w:tr w:rsidR="00FC728D" w:rsidTr="00623871">
        <w:trPr>
          <w:trHeight w:val="27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1 000,00 € 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3 745,00 € </w:t>
            </w:r>
          </w:p>
        </w:tc>
      </w:tr>
      <w:tr w:rsidR="00FC728D" w:rsidTr="00623871">
        <w:trPr>
          <w:trHeight w:val="27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D4EA1">
              <w:rPr>
                <w:rFonts w:ascii="Arial" w:hAnsi="Arial" w:cs="Arial"/>
                <w:b/>
                <w:bCs/>
                <w:sz w:val="20"/>
                <w:szCs w:val="20"/>
              </w:rPr>
              <w:t>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davky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3 530,00 € 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3 754,27 € </w:t>
            </w:r>
          </w:p>
        </w:tc>
      </w:tr>
      <w:tr w:rsidR="00FC728D" w:rsidTr="00623871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EGF -členské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200,00 € </w:t>
            </w:r>
          </w:p>
        </w:tc>
      </w:tr>
      <w:tr w:rsidR="00FC728D" w:rsidTr="00623871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IGF- 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186,00 € </w:t>
            </w:r>
          </w:p>
        </w:tc>
      </w:tr>
      <w:tr w:rsidR="00FC728D" w:rsidTr="00623871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 úrokov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  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0,09 € </w:t>
            </w:r>
          </w:p>
        </w:tc>
      </w:tr>
      <w:tr w:rsidR="00FC728D" w:rsidTr="009D4EA1">
        <w:trPr>
          <w:trHeight w:val="463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Réžia a služby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vedenie účtu, doména, potvrdenia k žiadostiam, notárske overenia 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142,29 € </w:t>
            </w:r>
          </w:p>
        </w:tc>
      </w:tr>
      <w:tr w:rsidR="00FC728D" w:rsidTr="009D4EA1">
        <w:trPr>
          <w:trHeight w:val="579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Odmena športovci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športovec Lisý Pavol za 1. miesto na MEJ - súťaž jednotlivcov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200,00 € </w:t>
            </w:r>
          </w:p>
        </w:tc>
      </w:tr>
      <w:tr w:rsidR="00FC728D" w:rsidTr="009D4EA1">
        <w:trPr>
          <w:trHeight w:val="709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Odmena tréneri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500,00 €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tréner Pálenčár Ladislav za celoživotnú prácu s mládežou a životné jubileum 60 rokov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500,00 € </w:t>
            </w:r>
          </w:p>
        </w:tc>
      </w:tr>
      <w:tr w:rsidR="00FC728D" w:rsidTr="00623871">
        <w:trPr>
          <w:trHeight w:val="25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200,00 € </w:t>
            </w:r>
          </w:p>
        </w:tc>
      </w:tr>
      <w:tr w:rsidR="00FC728D" w:rsidTr="009D4EA1">
        <w:trPr>
          <w:trHeight w:val="487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Medajly pre majstrovstvá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150,00 €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rengo, páry, 9x9, 13x13, ženy, muži, ženy, juniori, bleskovky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100,89 € </w:t>
            </w:r>
          </w:p>
        </w:tc>
      </w:tr>
      <w:tr w:rsidR="00FC728D" w:rsidTr="009D4EA1">
        <w:trPr>
          <w:trHeight w:val="537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906,00 €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org. výdavky, ceny, konferencia (Pontis: 56E doprava + 500E ubytovanie)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1 085,00 € </w:t>
            </w:r>
          </w:p>
        </w:tc>
      </w:tr>
      <w:tr w:rsidR="00FC728D" w:rsidTr="009D4EA1">
        <w:trPr>
          <w:trHeight w:val="337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Festival 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694,00 €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(Pontis: 144E doprava + 300E ubytovanie)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790,00 € </w:t>
            </w:r>
          </w:p>
        </w:tc>
      </w:tr>
      <w:tr w:rsidR="00FC728D" w:rsidTr="00623871">
        <w:trPr>
          <w:trHeight w:val="52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Košický turnaj (na ďalekom východe)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350,00 €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poslané na účet Go klubu Košice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C728D" w:rsidRDefault="00FC7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350,00 € </w:t>
            </w:r>
          </w:p>
        </w:tc>
      </w:tr>
    </w:tbl>
    <w:p w:rsidR="00FC728D" w:rsidRDefault="00FC728D" w:rsidP="00C07789">
      <w:pPr>
        <w:jc w:val="both"/>
      </w:pPr>
    </w:p>
    <w:p w:rsidR="00623871" w:rsidRDefault="00623871" w:rsidP="00C07789">
      <w:pPr>
        <w:jc w:val="both"/>
      </w:pPr>
    </w:p>
    <w:p w:rsidR="00D85926" w:rsidRDefault="00D85926" w:rsidP="00C07789">
      <w:pPr>
        <w:jc w:val="both"/>
      </w:pPr>
      <w:r>
        <w:t xml:space="preserve">Vyššie výdavky oproti plánu boli schválené na rokovaniach výboru a zodpovedajú  vyšším príjmom a v niektorých prípadoch tiež súvisia s účelovo viazanými darmi, ktoré asociácia obdržala počas roka.  </w:t>
      </w:r>
    </w:p>
    <w:p w:rsidR="003D6EEF" w:rsidRDefault="00D85926" w:rsidP="00C07789">
      <w:pPr>
        <w:jc w:val="both"/>
      </w:pPr>
      <w:r>
        <w:t>Ku koncu roka 2015 ani v súčasnosti a</w:t>
      </w:r>
      <w:r w:rsidR="008166C0">
        <w:t xml:space="preserve">sociácia neeviduje žiadne záväzky. </w:t>
      </w:r>
      <w:r>
        <w:t>M</w:t>
      </w:r>
      <w:r w:rsidR="00623871">
        <w:t xml:space="preserve">ajetok tvoria </w:t>
      </w:r>
      <w:r w:rsidR="009D4EA1">
        <w:t xml:space="preserve">len </w:t>
      </w:r>
      <w:r w:rsidR="00623871">
        <w:t>finančné prostriedky a jeho stav ku koncu roka je nasledovný:</w:t>
      </w:r>
    </w:p>
    <w:p w:rsidR="003D6EEF" w:rsidRDefault="003D6EEF" w:rsidP="00C07789">
      <w:pPr>
        <w:jc w:val="both"/>
      </w:pPr>
    </w:p>
    <w:tbl>
      <w:tblPr>
        <w:tblW w:w="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8"/>
        <w:gridCol w:w="1141"/>
        <w:gridCol w:w="1141"/>
      </w:tblGrid>
      <w:tr w:rsidR="003D6EEF" w:rsidTr="00623871">
        <w:trPr>
          <w:trHeight w:val="255"/>
          <w:jc w:val="center"/>
        </w:trPr>
        <w:tc>
          <w:tcPr>
            <w:tcW w:w="3308" w:type="dxa"/>
          </w:tcPr>
          <w:p w:rsidR="003D6EEF" w:rsidRPr="003D6EEF" w:rsidRDefault="003D6EEF" w:rsidP="009F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EEF">
              <w:rPr>
                <w:rFonts w:ascii="Arial" w:hAnsi="Arial" w:cs="Arial"/>
                <w:b/>
                <w:sz w:val="20"/>
                <w:szCs w:val="20"/>
              </w:rPr>
              <w:t>Stav majetku</w:t>
            </w:r>
            <w:r w:rsidR="00277F4E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1141" w:type="dxa"/>
            <w:noWrap/>
            <w:vAlign w:val="bottom"/>
          </w:tcPr>
          <w:p w:rsidR="003D6EEF" w:rsidRPr="00277F4E" w:rsidRDefault="003D6EEF" w:rsidP="009F10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31.12.2015</w:t>
            </w:r>
          </w:p>
        </w:tc>
        <w:tc>
          <w:tcPr>
            <w:tcW w:w="1141" w:type="dxa"/>
            <w:noWrap/>
            <w:vAlign w:val="bottom"/>
          </w:tcPr>
          <w:p w:rsidR="003D6EEF" w:rsidRPr="00277F4E" w:rsidRDefault="003D6EEF" w:rsidP="009F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31.12.2014</w:t>
            </w:r>
          </w:p>
        </w:tc>
      </w:tr>
      <w:tr w:rsidR="003D6EEF" w:rsidTr="00623871">
        <w:trPr>
          <w:trHeight w:val="255"/>
          <w:jc w:val="center"/>
        </w:trPr>
        <w:tc>
          <w:tcPr>
            <w:tcW w:w="3308" w:type="dxa"/>
          </w:tcPr>
          <w:p w:rsidR="003D6EEF" w:rsidRDefault="003D6EEF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Bankové účty</w:t>
            </w:r>
          </w:p>
        </w:tc>
        <w:tc>
          <w:tcPr>
            <w:tcW w:w="1141" w:type="dxa"/>
            <w:noWrap/>
            <w:vAlign w:val="bottom"/>
          </w:tcPr>
          <w:p w:rsidR="003D6EEF" w:rsidRDefault="003D6EEF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6 508,31 € </w:t>
            </w:r>
          </w:p>
        </w:tc>
        <w:tc>
          <w:tcPr>
            <w:tcW w:w="1141" w:type="dxa"/>
            <w:noWrap/>
            <w:vAlign w:val="bottom"/>
          </w:tcPr>
          <w:p w:rsidR="003D6EEF" w:rsidRDefault="00277F4E" w:rsidP="0027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66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561,78 €</w:t>
            </w:r>
          </w:p>
        </w:tc>
      </w:tr>
      <w:tr w:rsidR="00277F4E" w:rsidTr="00623871">
        <w:trPr>
          <w:trHeight w:val="255"/>
          <w:jc w:val="center"/>
        </w:trPr>
        <w:tc>
          <w:tcPr>
            <w:tcW w:w="3308" w:type="dxa"/>
          </w:tcPr>
          <w:p w:rsidR="00277F4E" w:rsidRDefault="00277F4E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Pokladňa</w:t>
            </w:r>
          </w:p>
        </w:tc>
        <w:tc>
          <w:tcPr>
            <w:tcW w:w="1141" w:type="dxa"/>
            <w:noWrap/>
            <w:vAlign w:val="bottom"/>
          </w:tcPr>
          <w:p w:rsidR="00277F4E" w:rsidRDefault="00277F4E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131,34 € </w:t>
            </w:r>
          </w:p>
        </w:tc>
        <w:tc>
          <w:tcPr>
            <w:tcW w:w="1141" w:type="dxa"/>
            <w:noWrap/>
            <w:vAlign w:val="bottom"/>
          </w:tcPr>
          <w:p w:rsidR="00277F4E" w:rsidRDefault="00277F4E" w:rsidP="009F1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77,12 €</w:t>
            </w:r>
          </w:p>
        </w:tc>
      </w:tr>
      <w:tr w:rsidR="00277F4E" w:rsidTr="00623871">
        <w:trPr>
          <w:trHeight w:val="255"/>
          <w:jc w:val="center"/>
        </w:trPr>
        <w:tc>
          <w:tcPr>
            <w:tcW w:w="3308" w:type="dxa"/>
          </w:tcPr>
          <w:p w:rsidR="00277F4E" w:rsidRPr="00277F4E" w:rsidRDefault="00277F4E" w:rsidP="009F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141" w:type="dxa"/>
            <w:noWrap/>
            <w:vAlign w:val="bottom"/>
          </w:tcPr>
          <w:p w:rsidR="00277F4E" w:rsidRPr="00277F4E" w:rsidRDefault="00277F4E" w:rsidP="0027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6 639,65 €</w:t>
            </w:r>
          </w:p>
        </w:tc>
        <w:tc>
          <w:tcPr>
            <w:tcW w:w="1141" w:type="dxa"/>
            <w:noWrap/>
            <w:vAlign w:val="bottom"/>
          </w:tcPr>
          <w:p w:rsidR="00277F4E" w:rsidRPr="00277F4E" w:rsidRDefault="00277F4E" w:rsidP="0027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3 638,90 €</w:t>
            </w:r>
          </w:p>
        </w:tc>
      </w:tr>
    </w:tbl>
    <w:p w:rsidR="009D4EA1" w:rsidRDefault="009D4EA1"/>
    <w:p w:rsidR="003D6EEF" w:rsidRDefault="00623871" w:rsidP="009D4EA1">
      <w:pPr>
        <w:jc w:val="both"/>
      </w:pPr>
      <w:r>
        <w:t xml:space="preserve">Aj keď uvedené čísla vyzerajú </w:t>
      </w:r>
      <w:r w:rsidR="009D4EA1">
        <w:t xml:space="preserve">pomerne </w:t>
      </w:r>
      <w:r>
        <w:t xml:space="preserve">optimisticky, reálna situácia je z dlhodobého pohľadu skôr pesimistická. Väčšina príjmov v uplynulom roku má jednorazový charakter (vrátane dotácie Pontis) a nebudú sa v budúcnosti </w:t>
      </w:r>
      <w:r w:rsidR="00182ADF">
        <w:t xml:space="preserve">opakovať. </w:t>
      </w:r>
    </w:p>
    <w:p w:rsidR="008166C0" w:rsidRDefault="00732722" w:rsidP="009D4EA1">
      <w:pPr>
        <w:jc w:val="both"/>
      </w:pPr>
      <w:r>
        <w:lastRenderedPageBreak/>
        <w:t>Nepodarilo sa zvýšiť p</w:t>
      </w:r>
      <w:r w:rsidR="006B1122">
        <w:t>ríjm</w:t>
      </w:r>
      <w:r w:rsidR="00182ADF">
        <w:t>y</w:t>
      </w:r>
      <w:r w:rsidR="006B1122">
        <w:t xml:space="preserve"> </w:t>
      </w:r>
      <w:r w:rsidR="005D7A42">
        <w:t>zo štátnych dotácií</w:t>
      </w:r>
      <w:r w:rsidR="00623871">
        <w:t>. Podali</w:t>
      </w:r>
      <w:r w:rsidR="008166C0">
        <w:t xml:space="preserve"> sme síce žiadosti </w:t>
      </w:r>
      <w:r w:rsidR="00623871">
        <w:t>v roku 2015 aj v roku 2016</w:t>
      </w:r>
      <w:r w:rsidR="008166C0">
        <w:t>,</w:t>
      </w:r>
      <w:r w:rsidR="00623871">
        <w:t xml:space="preserve"> ale v rámci platných pravidiel nie sme schopní získať žiadny významnejší príspev</w:t>
      </w:r>
      <w:r w:rsidR="008166C0">
        <w:t xml:space="preserve">ok. V roku 2015 sme obdržali </w:t>
      </w:r>
      <w:r w:rsidR="00623871">
        <w:t xml:space="preserve">700 </w:t>
      </w:r>
      <w:r w:rsidR="00623871" w:rsidRPr="00623871">
        <w:t>€ a v roku 2016 je to len 200 €, ktoré sú účelovo viazané</w:t>
      </w:r>
      <w:r w:rsidR="00623871">
        <w:t xml:space="preserve"> </w:t>
      </w:r>
      <w:r w:rsidR="009D4EA1">
        <w:t>a nedajú sa použiť na financovanie činnosti</w:t>
      </w:r>
      <w:r w:rsidR="00623871">
        <w:t xml:space="preserve">. </w:t>
      </w:r>
    </w:p>
    <w:p w:rsidR="00623871" w:rsidRDefault="008166C0" w:rsidP="009D4EA1">
      <w:pPr>
        <w:jc w:val="both"/>
      </w:pPr>
      <w:r>
        <w:t>N</w:t>
      </w:r>
      <w:r w:rsidR="00623871">
        <w:t>ový zákon o športe túto situáciu nezmenil</w:t>
      </w:r>
      <w:r>
        <w:t xml:space="preserve">, skôr zhoršil </w:t>
      </w:r>
      <w:r w:rsidR="00182ADF">
        <w:t xml:space="preserve">a do budúcnosti </w:t>
      </w:r>
      <w:r>
        <w:t xml:space="preserve">treba </w:t>
      </w:r>
      <w:r w:rsidR="00182ADF">
        <w:t xml:space="preserve">počítať s tým, že žiadne príspevky z MŠ </w:t>
      </w:r>
      <w:r w:rsidR="00375150">
        <w:t>nedostaneme</w:t>
      </w:r>
      <w:r>
        <w:t>.</w:t>
      </w:r>
      <w:r w:rsidR="00375150">
        <w:t xml:space="preserve"> </w:t>
      </w:r>
      <w:r>
        <w:t>J</w:t>
      </w:r>
      <w:r w:rsidR="00375150">
        <w:t xml:space="preserve">e otázne, či má zmysel žiadosti o dotáciu </w:t>
      </w:r>
      <w:r>
        <w:t xml:space="preserve">ďalej </w:t>
      </w:r>
      <w:r w:rsidR="00375150">
        <w:t>podávať.</w:t>
      </w:r>
    </w:p>
    <w:p w:rsidR="00182ADF" w:rsidRDefault="00375150" w:rsidP="009D4EA1">
      <w:pPr>
        <w:jc w:val="both"/>
      </w:pPr>
      <w:r>
        <w:t>J</w:t>
      </w:r>
      <w:r w:rsidR="00182ADF">
        <w:t>ediné príjmy, s ktorými možno trvalo počítať sú členské príspevky a podiely na zaplatenej dani (2%)</w:t>
      </w:r>
      <w:r w:rsidR="009D4EA1">
        <w:t>, preto sa obraciame k členskej základni o pomoc a podporu asociácie týmto spôsobom</w:t>
      </w:r>
      <w:r>
        <w:t xml:space="preserve">. </w:t>
      </w:r>
      <w:r w:rsidR="009D4EA1">
        <w:t>H</w:t>
      </w:r>
      <w:r w:rsidR="00182ADF">
        <w:t>lavným cieľom do budúcnosti v oblasti hospodárenia je hľadanie nových zdrojov príjmov.</w:t>
      </w:r>
    </w:p>
    <w:p w:rsidR="008166C0" w:rsidRDefault="008166C0" w:rsidP="009D4EA1">
      <w:pPr>
        <w:jc w:val="both"/>
      </w:pPr>
      <w:r>
        <w:t xml:space="preserve">Čo sa týka výdavkov, možno konštatovať, že sa nám ich </w:t>
      </w:r>
      <w:r w:rsidR="00732722">
        <w:t xml:space="preserve">v roku 2015 </w:t>
      </w:r>
      <w:r>
        <w:t xml:space="preserve">podarilo významne zredukovať pri udržaní v podstate všetkých aktivít z minulosti. </w:t>
      </w:r>
      <w:r w:rsidR="00D85926">
        <w:t>Všetky činnosti súvisiace s fungovaním asociácie sú vykonávané ako dobrovoľnícka práca bez nároku na odmenu.</w:t>
      </w:r>
    </w:p>
    <w:p w:rsidR="00182ADF" w:rsidRDefault="00182ADF" w:rsidP="00C524E9">
      <w:pPr>
        <w:jc w:val="both"/>
      </w:pPr>
    </w:p>
    <w:p w:rsidR="009E437B" w:rsidRDefault="006E59D8" w:rsidP="00C524E9">
      <w:pPr>
        <w:jc w:val="both"/>
      </w:pPr>
      <w:r>
        <w:t>R</w:t>
      </w:r>
      <w:r w:rsidR="009E437B">
        <w:t>ozpočet SAG na rok 201</w:t>
      </w:r>
      <w:r w:rsidR="00375150">
        <w:t>6</w:t>
      </w:r>
      <w:r w:rsidR="009E437B">
        <w:t xml:space="preserve"> </w:t>
      </w:r>
      <w:r>
        <w:t xml:space="preserve">schválil výbor </w:t>
      </w:r>
      <w:r w:rsidR="00375150">
        <w:t xml:space="preserve">opäť </w:t>
      </w:r>
      <w:r>
        <w:t>ako</w:t>
      </w:r>
      <w:r w:rsidR="00D85926" w:rsidRPr="00D85926">
        <w:t xml:space="preserve"> </w:t>
      </w:r>
      <w:r w:rsidR="00D85926">
        <w:t>vyrovnaný</w:t>
      </w:r>
      <w:r>
        <w:t xml:space="preserve">. </w:t>
      </w:r>
      <w:r w:rsidR="00375150">
        <w:t xml:space="preserve">Štruktúra výdavkov je podobná minulému roku, </w:t>
      </w:r>
      <w:r w:rsidR="00D85926">
        <w:t>ich výška však zodpovedá očakávaným príjmom. V</w:t>
      </w:r>
      <w:r w:rsidR="00375150">
        <w:t xml:space="preserve">ýnimku tvorí </w:t>
      </w:r>
      <w:r w:rsidR="009D4EA1">
        <w:t>podpora ml</w:t>
      </w:r>
      <w:r w:rsidR="00D85926">
        <w:t>ádeže, ktorá nahradila dotáciu pre</w:t>
      </w:r>
      <w:r w:rsidR="00732722">
        <w:t xml:space="preserve"> Košic</w:t>
      </w:r>
      <w:r w:rsidR="009D4EA1">
        <w:t>ký turnaj.</w:t>
      </w:r>
      <w:r w:rsidR="007A14E0">
        <w:t xml:space="preserve"> </w:t>
      </w:r>
    </w:p>
    <w:p w:rsidR="00375150" w:rsidRDefault="00375150" w:rsidP="00C524E9">
      <w:pPr>
        <w:jc w:val="both"/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/>
      </w:tblPr>
      <w:tblGrid>
        <w:gridCol w:w="2840"/>
        <w:gridCol w:w="1160"/>
        <w:gridCol w:w="5015"/>
      </w:tblGrid>
      <w:tr w:rsidR="00375150" w:rsidTr="00375150">
        <w:trPr>
          <w:trHeight w:val="270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150" w:rsidRDefault="0037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75150" w:rsidRDefault="003751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5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150" w:rsidRDefault="0037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375150" w:rsidTr="00375150">
        <w:trPr>
          <w:trHeight w:val="27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 w:rsidR="00D85926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2 200,00 €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150" w:rsidTr="00375150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700,00 €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2015</w:t>
            </w:r>
          </w:p>
        </w:tc>
      </w:tr>
      <w:tr w:rsidR="00375150" w:rsidTr="00375150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Podiel zaplatenej dane 2 %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500,00 €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2015</w:t>
            </w:r>
          </w:p>
        </w:tc>
      </w:tr>
      <w:tr w:rsidR="00375150" w:rsidTr="00375150">
        <w:trPr>
          <w:trHeight w:val="304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Dotácia z MŠ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50" w:rsidTr="00375150">
        <w:trPr>
          <w:trHeight w:val="312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1 000,00 € 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treba očakávať zásadný pokles oproti roku 2015</w:t>
            </w:r>
          </w:p>
        </w:tc>
      </w:tr>
      <w:tr w:rsidR="00375150" w:rsidTr="00375150">
        <w:trPr>
          <w:trHeight w:val="270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5150" w:rsidRDefault="00D859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</w:t>
            </w:r>
            <w:r w:rsidR="00375150">
              <w:rPr>
                <w:rFonts w:ascii="Arial" w:hAnsi="Arial" w:cs="Arial"/>
                <w:b/>
                <w:bCs/>
                <w:sz w:val="20"/>
                <w:szCs w:val="20"/>
              </w:rPr>
              <w:t>davky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2 150,00 € </w:t>
            </w:r>
          </w:p>
        </w:tc>
        <w:tc>
          <w:tcPr>
            <w:tcW w:w="5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5150" w:rsidTr="00375150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EGF -členské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2015</w:t>
            </w:r>
          </w:p>
        </w:tc>
      </w:tr>
      <w:tr w:rsidR="00375150" w:rsidTr="00375150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IGF- 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2015</w:t>
            </w:r>
          </w:p>
        </w:tc>
      </w:tr>
      <w:tr w:rsidR="00375150" w:rsidTr="00375150">
        <w:trPr>
          <w:trHeight w:val="573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Réžia a služby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150,00 €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vedenie účtu, doména, potvrdenia k žiadostiam, notárske overenia ...</w:t>
            </w:r>
          </w:p>
        </w:tc>
      </w:tr>
      <w:tr w:rsidR="00375150" w:rsidTr="00375150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Propagácia 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leták o go, brožúrky EGF</w:t>
            </w:r>
          </w:p>
        </w:tc>
      </w:tr>
      <w:tr w:rsidR="00375150" w:rsidTr="00375150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375150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Odmena športovci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športovec Lisý Pavol za 1. miesto na MEJ - súťaž jednotlivcov</w:t>
            </w:r>
          </w:p>
        </w:tc>
      </w:tr>
      <w:tr w:rsidR="00375150" w:rsidTr="00375150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ceny do Grand Prix Slovakia</w:t>
            </w:r>
          </w:p>
        </w:tc>
      </w:tr>
      <w:tr w:rsidR="00375150" w:rsidTr="00375150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D85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Medaile</w:t>
            </w:r>
            <w:r w:rsidR="00375150">
              <w:rPr>
                <w:rFonts w:ascii="Arial" w:hAnsi="Arial" w:cs="Arial"/>
                <w:sz w:val="20"/>
                <w:szCs w:val="20"/>
              </w:rPr>
              <w:t xml:space="preserve"> pre majstrovské kategórie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120,00 €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rengo, páry, 9x9, 13x13, ženy, muži, ženy, juniori, bleskovky</w:t>
            </w:r>
          </w:p>
        </w:tc>
      </w:tr>
      <w:tr w:rsidR="00375150" w:rsidTr="00375150">
        <w:trPr>
          <w:trHeight w:val="1048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450,00 €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org. výdavky, ceny, príspevky na účasť, konferencia (150E je viazaných na dotovanie účasti mládeže* na MSR v niektorej z </w:t>
            </w:r>
            <w:r w:rsidR="00D85926">
              <w:rPr>
                <w:rFonts w:ascii="Arial" w:hAnsi="Arial" w:cs="Arial"/>
                <w:sz w:val="20"/>
                <w:szCs w:val="20"/>
              </w:rPr>
              <w:t>juniorských</w:t>
            </w:r>
            <w:r>
              <w:rPr>
                <w:rFonts w:ascii="Arial" w:hAnsi="Arial" w:cs="Arial"/>
                <w:sz w:val="20"/>
                <w:szCs w:val="20"/>
              </w:rPr>
              <w:t xml:space="preserve"> kategórií, max. 30E na osobu)</w:t>
            </w:r>
          </w:p>
        </w:tc>
      </w:tr>
      <w:tr w:rsidR="00375150" w:rsidTr="00375150">
        <w:trPr>
          <w:trHeight w:val="70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Festival 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350,00 €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org. výdavky, ceny príspevky na účasť  (100E je viazaných na dotovanie účasti mládeže*, max. 20E na osobu)</w:t>
            </w:r>
          </w:p>
        </w:tc>
      </w:tr>
      <w:tr w:rsidR="00375150" w:rsidTr="00375150">
        <w:trPr>
          <w:trHeight w:val="531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mládeže*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350,00 €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150" w:rsidRDefault="0037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Spôsob použitia týchto prostriedkov je zverejnený na stránke SAG</w:t>
            </w:r>
          </w:p>
        </w:tc>
      </w:tr>
      <w:tr w:rsidR="00375150" w:rsidTr="00375150">
        <w:trPr>
          <w:trHeight w:val="555"/>
          <w:jc w:val="center"/>
        </w:trPr>
        <w:tc>
          <w:tcPr>
            <w:tcW w:w="90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75150" w:rsidRDefault="00375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Mládežou sa rozumejú tí členovia SAG, ktorí sa podľa platných pravidiel môžu zúčastniť MEJ v niektorej z kategórií a majú zaplatené členské v danom kalendárnom roku</w:t>
            </w:r>
          </w:p>
        </w:tc>
      </w:tr>
    </w:tbl>
    <w:p w:rsidR="006E59D8" w:rsidRDefault="006E59D8" w:rsidP="009E437B"/>
    <w:p w:rsidR="009E437B" w:rsidRDefault="00C524E9" w:rsidP="009E437B">
      <w:r>
        <w:t>Ak</w:t>
      </w:r>
      <w:r w:rsidR="006E59D8">
        <w:t xml:space="preserve"> </w:t>
      </w:r>
      <w:r>
        <w:t xml:space="preserve">budú skutočné </w:t>
      </w:r>
      <w:r w:rsidR="006E59D8">
        <w:t>príjmy</w:t>
      </w:r>
      <w:r>
        <w:t xml:space="preserve"> vyššie</w:t>
      </w:r>
      <w:r w:rsidR="006E59D8">
        <w:t xml:space="preserve">, </w:t>
      </w:r>
      <w:r w:rsidR="00732722">
        <w:t xml:space="preserve">môže </w:t>
      </w:r>
      <w:r w:rsidR="006E59D8">
        <w:t xml:space="preserve">výbor rozpočet </w:t>
      </w:r>
      <w:r w:rsidR="00732722">
        <w:t>upraviť</w:t>
      </w:r>
      <w:r w:rsidR="006E59D8">
        <w:t>.</w:t>
      </w:r>
    </w:p>
    <w:p w:rsidR="00C524E9" w:rsidRDefault="00C524E9" w:rsidP="009E437B"/>
    <w:p w:rsidR="00C524E9" w:rsidRDefault="00375150" w:rsidP="009E437B">
      <w:r>
        <w:t>V Bratislave 31.3.2016</w:t>
      </w:r>
    </w:p>
    <w:p w:rsidR="00C524E9" w:rsidRDefault="00C524E9" w:rsidP="009E437B"/>
    <w:p w:rsidR="00C524E9" w:rsidRDefault="00C524E9" w:rsidP="009E437B">
      <w:r>
        <w:t>Juraj Waczulík</w:t>
      </w:r>
    </w:p>
    <w:p w:rsidR="00C524E9" w:rsidRDefault="00C524E9" w:rsidP="009E437B">
      <w:r>
        <w:t>Hospodár SAG</w:t>
      </w:r>
    </w:p>
    <w:p w:rsidR="00DF4867" w:rsidRDefault="00DF4867"/>
    <w:sectPr w:rsidR="00DF4867" w:rsidSect="00C524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7D4"/>
    <w:multiLevelType w:val="hybridMultilevel"/>
    <w:tmpl w:val="9F5C20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400E7"/>
    <w:multiLevelType w:val="hybridMultilevel"/>
    <w:tmpl w:val="BBE6FE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D3A2C"/>
    <w:multiLevelType w:val="hybridMultilevel"/>
    <w:tmpl w:val="CD6C40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C078D"/>
    <w:rsid w:val="000D6D2E"/>
    <w:rsid w:val="00182ADF"/>
    <w:rsid w:val="00277F4E"/>
    <w:rsid w:val="00291C29"/>
    <w:rsid w:val="002F1F76"/>
    <w:rsid w:val="00375150"/>
    <w:rsid w:val="003D6EEF"/>
    <w:rsid w:val="004A165B"/>
    <w:rsid w:val="00500A1F"/>
    <w:rsid w:val="005D7A42"/>
    <w:rsid w:val="00623871"/>
    <w:rsid w:val="006B1122"/>
    <w:rsid w:val="006C078D"/>
    <w:rsid w:val="006E59D8"/>
    <w:rsid w:val="00732722"/>
    <w:rsid w:val="007A14E0"/>
    <w:rsid w:val="007A5427"/>
    <w:rsid w:val="008166C0"/>
    <w:rsid w:val="008845B7"/>
    <w:rsid w:val="009D4EA1"/>
    <w:rsid w:val="009D7F51"/>
    <w:rsid w:val="009E437B"/>
    <w:rsid w:val="009F1073"/>
    <w:rsid w:val="00C07789"/>
    <w:rsid w:val="00C524E9"/>
    <w:rsid w:val="00D85926"/>
    <w:rsid w:val="00DF011D"/>
    <w:rsid w:val="00DF4867"/>
    <w:rsid w:val="00E902CD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hospodárení SAG za rok 2014 a rozpočet na rok 2015</dc:title>
  <dc:creator>Juraj Waczulik</dc:creator>
  <cp:lastModifiedBy>Miroslav</cp:lastModifiedBy>
  <cp:revision>2</cp:revision>
  <dcterms:created xsi:type="dcterms:W3CDTF">2016-06-17T14:42:00Z</dcterms:created>
  <dcterms:modified xsi:type="dcterms:W3CDTF">2016-06-17T14:42:00Z</dcterms:modified>
</cp:coreProperties>
</file>